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6520"/>
        <w:gridCol w:w="2551"/>
      </w:tblGrid>
      <w:tr>
        <w:tc>
          <w:tcPr>
            <w:tcW w:type="dxa" w:w="4929"/>
            <w:shd w:fill="0F1C2E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r>
              <w:rPr>
                <w:b/>
                <w:color w:val="F5F7FA"/>
                <w:sz w:val="52"/>
              </w:rPr>
              <w:t>BYSALOMON</w:t>
            </w:r>
          </w:p>
          <w:p>
            <w:r>
              <w:rPr>
                <w:color w:val="C9D1D9"/>
                <w:sz w:val="24"/>
              </w:rPr>
              <w:t>Manual de marca institucional</w:t>
            </w:r>
          </w:p>
        </w:tc>
        <w:tc>
          <w:tcPr>
            <w:tcW w:type="dxa" w:w="4929"/>
            <w:shd w:fill="0B0F14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96000" cy="1158311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D306A08B-534F-4005-8E5C-36D7D6989EC0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000" cy="1158311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r>
        <w:rPr>
          <w:color w:val="6E7B8B"/>
          <w:sz w:val="20"/>
        </w:rPr>
        <w:t>Versión 1.0  -  Uso interno y presentaciones institucionales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DE3EC"/>
          <w:left w:val="single" w:sz="8" w:space="0" w:color="DDE3EC"/>
          <w:bottom w:val="single" w:sz="8" w:space="0" w:color="DDE3EC"/>
          <w:right w:val="single" w:sz="8" w:space="0" w:color="DDE3EC"/>
          <w:insideH w:val="single" w:sz="8" w:space="0" w:color="DDE3EC"/>
          <w:insideV w:val="single" w:sz="8" w:space="0" w:color="DDE3EC"/>
        </w:tblBorders>
      </w:tblPr>
      <w:tblGrid>
        <w:gridCol w:w="9858"/>
      </w:tblGrid>
      <w:tr>
        <w:tc>
          <w:tcPr>
            <w:tcW w:type="dxa" w:w="9858"/>
            <w:shd w:fill="F7F9FC"/>
            <w:tcMar>
              <w:top w:w="160" w:type="dxa"/>
              <w:start w:w="160" w:type="dxa"/>
              <w:bottom w:w="160" w:type="dxa"/>
              <w:end w:w="160" w:type="dxa"/>
            </w:tcMar>
          </w:tcPr>
          <w:p>
            <w:r>
              <w:rPr>
                <w:b/>
                <w:color w:val="0F1C2E"/>
                <w:sz w:val="24"/>
              </w:rPr>
              <w:t>Síntesis de marca</w:t>
            </w:r>
          </w:p>
          <w:p>
            <w:pPr>
              <w:spacing w:after="60"/>
              <w:ind w:left="142"/>
            </w:pPr>
            <w:r>
              <w:rPr>
                <w:color w:val="E10600"/>
              </w:rPr>
              <w:t xml:space="preserve">• </w:t>
            </w:r>
            <w:r>
              <w:t>BySalomon es una marca orientada a seguridad digital, resguardo documental y codificación aplicada para organizaciones que manejan información sensible.</w:t>
            </w:r>
          </w:p>
          <w:p>
            <w:pPr>
              <w:spacing w:after="60"/>
              <w:ind w:left="142"/>
            </w:pPr>
            <w:r>
              <w:rPr>
                <w:color w:val="E10600"/>
              </w:rPr>
              <w:t xml:space="preserve">• </w:t>
            </w:r>
            <w:r>
              <w:t>La identidad combina sobriedad institucional, lenguaje tecnológico y una firma visual propia inspirada en la Cruz del Sur, evitando los clichés comunes de antivirus o ciberseguridad genérica.</w:t>
            </w:r>
          </w:p>
          <w:p>
            <w:pPr>
              <w:spacing w:after="60"/>
              <w:ind w:left="142"/>
            </w:pPr>
            <w:r>
              <w:rPr>
                <w:color w:val="E10600"/>
              </w:rPr>
              <w:t xml:space="preserve">• </w:t>
            </w:r>
            <w:r>
              <w:t>Este manual fija los lineamientos mínimos para uso consistente del logotipo, paleta, tono y presencia visual de la marca.</w:t>
            </w:r>
          </w:p>
        </w:tc>
      </w:tr>
    </w:tbl>
    <w:p>
      <w:r>
        <w:br w:type="page"/>
      </w:r>
    </w:p>
    <w:p>
      <w:pPr>
        <w:pStyle w:val="Heading1"/>
      </w:pPr>
      <w:r>
        <w:t>1. Plataforma de marca</w:t>
      </w:r>
    </w:p>
    <w:p>
      <w:pPr>
        <w:pStyle w:val="Heading2"/>
      </w:pPr>
      <w:r>
        <w:t>Propósito</w:t>
      </w:r>
    </w:p>
    <w:p>
      <w:pPr>
        <w:spacing w:after="160"/>
      </w:pPr>
      <w:r>
        <w:t>Proteger valor invisible: documentos, datos, evidencia y procesos que sostienen la continuidad de personas, empresas e instituciones.</w:t>
      </w:r>
    </w:p>
    <w:p>
      <w:pPr>
        <w:pStyle w:val="Heading2"/>
      </w:pPr>
      <w:r>
        <w:t>Misión</w:t>
      </w:r>
    </w:p>
    <w:p>
      <w:pPr>
        <w:spacing w:after="160"/>
      </w:pPr>
      <w:r>
        <w:t>Ofrecer soluciones de seguridad digital y resguardo documental que combinen claridad de uso, criterio técnico y confianza institucional.</w:t>
      </w:r>
    </w:p>
    <w:p>
      <w:pPr>
        <w:pStyle w:val="Heading2"/>
      </w:pPr>
      <w:r>
        <w:t>Visión</w:t>
      </w:r>
    </w:p>
    <w:p>
      <w:pPr>
        <w:spacing w:after="160"/>
      </w:pPr>
      <w:r>
        <w:t>Convertirse en una marca regional reconocida por traducir la seguridad de la información en herramientas concretas, confiables y comercialmente viables.</w:t>
      </w:r>
    </w:p>
    <w:p>
      <w:pPr>
        <w:pStyle w:val="Heading2"/>
      </w:pPr>
      <w:r>
        <w:t>Valores</w:t>
      </w:r>
    </w:p>
    <w:p>
      <w:pPr>
        <w:spacing w:after="160"/>
      </w:pPr>
      <w:r>
        <w:t>Confianza operativa; sobriedad; trazabilidad; innovación con criterio; protección del usuario; claridad técnica sin complejidad innecesaria.</w:t>
      </w:r>
    </w:p>
    <w:p>
      <w:pPr>
        <w:pStyle w:val="Heading1"/>
      </w:pPr>
      <w:r>
        <w:t>2. Arquitectura de marca</w:t>
      </w:r>
    </w:p>
    <w:p>
      <w:pPr>
        <w:pStyle w:val="Heading2"/>
      </w:pPr>
      <w:r>
        <w:t>Marca madre</w:t>
      </w:r>
    </w:p>
    <w:p>
      <w:pPr>
        <w:spacing w:after="160"/>
      </w:pPr>
      <w:r>
        <w:t>BySalomon funciona como paraguas institucional para soluciones de seguridad digital, codificación, resguardo documental, protección de identidad y servicios informáticos especializados.</w:t>
      </w:r>
    </w:p>
    <w:p>
      <w:pPr>
        <w:pStyle w:val="Heading2"/>
      </w:pPr>
      <w:r>
        <w:t>Producto inicial</w:t>
      </w:r>
    </w:p>
    <w:p>
      <w:pPr>
        <w:spacing w:after="160"/>
      </w:pPr>
      <w:r>
        <w:t>Codificador es el primer producto visible: toma información textual, la transforma y la encapsula para su resguardo, con una lógica de seguridad práctica y comprensible.</w:t>
      </w:r>
    </w:p>
    <w:p>
      <w:pPr>
        <w:pStyle w:val="Heading2"/>
      </w:pPr>
      <w:r>
        <w:t>Expansión</w:t>
      </w:r>
    </w:p>
    <w:p>
      <w:pPr>
        <w:spacing w:after="160"/>
      </w:pPr>
      <w:r>
        <w:t>La arquitectura admite futuras líneas: bóveda documental, validación de integridad, trazabilidad de archivos, firma, sellado o auditoría documental.</w:t>
      </w:r>
    </w:p>
    <w:p>
      <w:pPr>
        <w:pStyle w:val="Heading1"/>
      </w:pPr>
      <w:r>
        <w:t>3. Identidad visual</w:t>
      </w:r>
    </w:p>
    <w:p>
      <w:pPr>
        <w:pStyle w:val="Heading2"/>
      </w:pPr>
      <w:r>
        <w:t>Idea rectora</w:t>
      </w:r>
    </w:p>
    <w:p>
      <w:pPr>
        <w:spacing w:after="160"/>
      </w:pPr>
      <w:r>
        <w:t>La marca evita los recursos obvios de escudo, candado o antivirus clásico como eje dominante. En su lugar, utiliza una forma contenedora que sugiere archivo encapsulado, estructura y protección.</w:t>
      </w:r>
    </w:p>
    <w:p>
      <w:pPr>
        <w:pStyle w:val="Heading2"/>
      </w:pPr>
      <w:r>
        <w:t>Firma distintiva</w:t>
      </w:r>
    </w:p>
    <w:p>
      <w:pPr>
        <w:spacing w:after="160"/>
      </w:pPr>
      <w:r>
        <w:t>La Cruz del Sur actúa como señal de orientación, autenticidad y referencia propia. No se utiliza como emblema patriótico ni astronómico literal, sino como firma visual minimalista dentro del sistema.</w:t>
      </w:r>
    </w:p>
    <w:p>
      <w:pPr>
        <w:pStyle w:val="Heading2"/>
      </w:pPr>
      <w:r>
        <w:t>Lectura esperada</w:t>
      </w:r>
    </w:p>
    <w:p>
      <w:pPr>
        <w:spacing w:after="160"/>
      </w:pPr>
      <w:r>
        <w:t>Al ver la marca, el receptor debe percibir: empresa seria, protección real, tecnología con criterio y resguardo de información importante.</w:t>
      </w:r>
    </w:p>
    <w:p>
      <w:pPr>
        <w:pStyle w:val="Heading1"/>
      </w:pPr>
      <w:r>
        <w:t>4. Paleta cromática</w:t>
      </w:r>
    </w:p>
    <w:p>
      <w:pPr>
        <w:spacing w:after="200"/>
      </w:pPr>
      <w:r>
        <w:t>La paleta toma la intensidad sobria trabajada en TitanGear y la adapta a un contexto institucional, tecnológico y de alta confianza.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9DEE8"/>
          <w:left w:val="single" w:sz="6" w:space="0" w:color="D9DEE8"/>
          <w:bottom w:val="single" w:sz="6" w:space="0" w:color="D9DEE8"/>
          <w:right w:val="single" w:sz="6" w:space="0" w:color="D9DEE8"/>
          <w:insideH w:val="single" w:sz="6" w:space="0" w:color="D9DEE8"/>
          <w:insideV w:val="single" w:sz="6" w:space="0" w:color="D9DEE8"/>
        </w:tblBorders>
      </w:tblPr>
      <w:tblGrid>
        <w:gridCol w:w="2268"/>
        <w:gridCol w:w="1417"/>
        <w:gridCol w:w="1701"/>
        <w:gridCol w:w="3969"/>
      </w:tblGrid>
      <w:tr>
        <w:tc>
          <w:tcPr>
            <w:tcW w:type="dxa" w:w="2464"/>
            <w:shd w:fill="0F1C2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5F7FA"/>
              </w:rPr>
              <w:t>Color</w:t>
            </w:r>
          </w:p>
        </w:tc>
        <w:tc>
          <w:tcPr>
            <w:tcW w:type="dxa" w:w="2464"/>
            <w:shd w:fill="0F1C2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5F7FA"/>
              </w:rPr>
              <w:t>Muestra</w:t>
            </w:r>
          </w:p>
        </w:tc>
        <w:tc>
          <w:tcPr>
            <w:tcW w:type="dxa" w:w="2464"/>
            <w:shd w:fill="0F1C2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5F7FA"/>
              </w:rPr>
              <w:t>Código</w:t>
            </w:r>
          </w:p>
        </w:tc>
        <w:tc>
          <w:tcPr>
            <w:tcW w:type="dxa" w:w="2464"/>
            <w:shd w:fill="0F1C2E"/>
            <w:tcMar>
              <w:top w:w="120" w:type="dxa"/>
              <w:start w:w="100" w:type="dxa"/>
              <w:bottom w:w="12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5F7FA"/>
              </w:rPr>
              <w:t>Uso recomendado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Negro profundo</w:t>
            </w:r>
          </w:p>
        </w:tc>
        <w:tc>
          <w:tcPr>
            <w:tcW w:type="dxa" w:w="1417"/>
            <w:shd w:fill="0B0F14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#0B0F14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Fondos principales, piezas premium, contraste y profundidad.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Azul noche</w:t>
            </w:r>
          </w:p>
        </w:tc>
        <w:tc>
          <w:tcPr>
            <w:tcW w:type="dxa" w:w="1417"/>
            <w:shd w:fill="0F1C2E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#0F1C2E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Base institucional del sistema y fondos digitales.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Azul petróleo</w:t>
            </w:r>
          </w:p>
        </w:tc>
        <w:tc>
          <w:tcPr>
            <w:tcW w:type="dxa" w:w="1417"/>
            <w:shd w:fill="13293D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#13293D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Variaciones, paneles, fondos secundarios y soportes.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Gris acero</w:t>
            </w:r>
          </w:p>
        </w:tc>
        <w:tc>
          <w:tcPr>
            <w:tcW w:type="dxa" w:w="1417"/>
            <w:shd w:fill="6E7B8B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#6E7B8B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Textos de apoyo, filetes, elementos técnicos.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Plata técnica</w:t>
            </w:r>
          </w:p>
        </w:tc>
        <w:tc>
          <w:tcPr>
            <w:tcW w:type="dxa" w:w="1417"/>
            <w:shd w:fill="C9D1D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#C9D1D9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Versión metálica del logotipo, títulos y acentos sobrios.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Blanco técnico</w:t>
            </w:r>
          </w:p>
        </w:tc>
        <w:tc>
          <w:tcPr>
            <w:tcW w:type="dxa" w:w="1417"/>
            <w:shd w:fill="F5F7FA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#F5F7FA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Contraste, fondos claros y respiración visual.</w:t>
            </w:r>
          </w:p>
        </w:tc>
      </w:tr>
      <w:tr>
        <w:tc>
          <w:tcPr>
            <w:tcW w:type="dxa" w:w="2268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Rojo controlado</w:t>
            </w:r>
          </w:p>
        </w:tc>
        <w:tc>
          <w:tcPr>
            <w:tcW w:type="dxa" w:w="1417"/>
            <w:shd w:fill="E10600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type="dxa" w:w="1701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center"/>
            </w:pPr>
            <w:r>
              <w:t>#E10600</w:t>
            </w:r>
          </w:p>
        </w:tc>
        <w:tc>
          <w:tcPr>
            <w:tcW w:type="dxa" w:w="3969"/>
            <w:tcMar>
              <w:top w:w="120" w:type="dxa"/>
              <w:start w:w="100" w:type="dxa"/>
              <w:bottom w:w="120" w:type="dxa"/>
              <w:end w:w="100" w:type="dxa"/>
            </w:tcMar>
            <w:vAlign w:val="center"/>
          </w:tcPr>
          <w:p>
            <w:pPr>
              <w:spacing w:after="0"/>
              <w:jc w:val="left"/>
            </w:pPr>
            <w:r>
              <w:t>Microacento de tensión, llamados puntuales y energía visual.</w:t>
            </w:r>
          </w:p>
        </w:tc>
      </w:tr>
    </w:tbl>
    <w:p>
      <w:r>
        <w:rPr>
          <w:i/>
          <w:color w:val="6E7B8B"/>
        </w:rPr>
        <w:t>Regla de uso: el rojo no debe dominar la composición; debe funcionar como microacento o tensión visual controlada.</w:t>
      </w:r>
    </w:p>
    <w:p>
      <w:pPr>
        <w:pStyle w:val="Heading1"/>
      </w:pPr>
      <w:r>
        <w:t>5. Tipografía y composición</w:t>
      </w:r>
    </w:p>
    <w:p>
      <w:pPr>
        <w:pStyle w:val="Heading2"/>
      </w:pPr>
      <w:r>
        <w:t>Wordmark</w:t>
      </w:r>
    </w:p>
    <w:p>
      <w:r>
        <w:t>Usar una sans serif moderna, limpia y de excelente legibilidad. Debe verse contemporánea, corporativa y estable.</w:t>
      </w:r>
    </w:p>
    <w:p>
      <w:pPr>
        <w:pStyle w:val="Heading2"/>
      </w:pPr>
      <w:r>
        <w:t>Jerarquía</w:t>
      </w:r>
    </w:p>
    <w:p>
      <w:r>
        <w:t>Priorizar títulos limpios, subtítulos breves y cuerpo de texto claro. La marca debe respirarse, no comprimirse.</w:t>
      </w:r>
    </w:p>
    <w:p>
      <w:pPr>
        <w:pStyle w:val="Heading2"/>
      </w:pPr>
      <w:r>
        <w:t>Relación símbolo / texto</w:t>
      </w:r>
    </w:p>
    <w:p>
      <w:r>
        <w:t>El isotipo puede convivir con el wordmark en composición horizontal o vertical. La versión horizontal será la principal para web, PDF y presentaciones.</w:t>
      </w:r>
    </w:p>
    <w:p>
      <w:pPr>
        <w:pStyle w:val="Heading2"/>
      </w:pPr>
      <w:r>
        <w:t>Estilo</w:t>
      </w:r>
    </w:p>
    <w:p>
      <w:r>
        <w:t>Favorecer composiciones limpias, fondos controlados y espaciado generoso. Evitar saturación de elementos decorativos.</w:t>
      </w:r>
    </w:p>
    <w:p>
      <w:pPr>
        <w:pStyle w:val="Heading1"/>
      </w:pPr>
      <w:r>
        <w:t>6. Uso del logotipo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DE3EC"/>
          <w:left w:val="single" w:sz="6" w:space="0" w:color="DDE3EC"/>
          <w:bottom w:val="single" w:sz="6" w:space="0" w:color="DDE3EC"/>
          <w:right w:val="single" w:sz="6" w:space="0" w:color="DDE3EC"/>
          <w:insideH w:val="single" w:sz="6" w:space="0" w:color="DDE3EC"/>
          <w:insideV w:val="single" w:sz="6" w:space="0" w:color="DDE3EC"/>
        </w:tblBorders>
      </w:tblPr>
      <w:tblGrid>
        <w:gridCol w:w="4649"/>
        <w:gridCol w:w="4649"/>
      </w:tblGrid>
      <w:tr>
        <w:tc>
          <w:tcPr>
            <w:tcW w:type="dxa" w:w="4929"/>
            <w:shd w:fill="F7F9FC"/>
            <w:tcMar>
              <w:top w:w="14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  <w:color w:val="0F1C2E"/>
              </w:rPr>
              <w:t>Versión principal</w:t>
            </w:r>
          </w:p>
          <w:p>
            <w:pPr>
              <w:spacing w:before="40"/>
            </w:pPr>
            <w:r>
              <w:t>Fondo azul noche o negro profundo, símbolo en plata técnica y azul oscuro, con rojo mínimo como acento.</w:t>
            </w:r>
          </w:p>
        </w:tc>
        <w:tc>
          <w:tcPr>
            <w:tcW w:type="dxa" w:w="4929"/>
            <w:shd w:fill="F7F9FC"/>
            <w:tcMar>
              <w:top w:w="14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  <w:color w:val="0F1C2E"/>
              </w:rPr>
              <w:t>Versión clara</w:t>
            </w:r>
          </w:p>
          <w:p>
            <w:pPr>
              <w:spacing w:before="40"/>
            </w:pPr>
            <w:r>
              <w:t>Sobre fondo blanco técnico, mantener contraste alto y evitar sombras o efectos pesados.</w:t>
            </w:r>
          </w:p>
        </w:tc>
      </w:tr>
      <w:tr>
        <w:tc>
          <w:tcPr>
            <w:tcW w:type="dxa" w:w="4929"/>
            <w:shd w:fill="F7F9FC"/>
            <w:tcMar>
              <w:top w:w="14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  <w:color w:val="0F1C2E"/>
              </w:rPr>
              <w:t>Versión monocromática</w:t>
            </w:r>
          </w:p>
          <w:p>
            <w:pPr>
              <w:spacing w:before="40"/>
            </w:pPr>
            <w:r>
              <w:t>Debe existir en una sola tinta para registro, sellos, formularios o usos legales.</w:t>
            </w:r>
          </w:p>
        </w:tc>
        <w:tc>
          <w:tcPr>
            <w:tcW w:type="dxa" w:w="4929"/>
            <w:shd w:fill="F7F9FC"/>
            <w:tcMar>
              <w:top w:w="14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  <w:color w:val="0F1C2E"/>
              </w:rPr>
              <w:t>Favicon / isotipo</w:t>
            </w:r>
          </w:p>
          <w:p>
            <w:pPr>
              <w:spacing w:before="40"/>
            </w:pPr>
            <w:r>
              <w:t>El símbolo debe leerse correctamente en tamaños pequeños, manteniendo visibles la estructura contenedora y la Cruz del Sur.</w:t>
            </w:r>
          </w:p>
        </w:tc>
      </w:tr>
    </w:tbl>
    <w:p>
      <w:pPr>
        <w:pStyle w:val="Heading2"/>
      </w:pPr>
      <w:r>
        <w:t>Usos incorrectos</w:t>
      </w:r>
    </w:p>
    <w:p>
      <w:r>
        <w:rPr>
          <w:color w:val="E10600"/>
        </w:rPr>
        <w:t xml:space="preserve">• </w:t>
      </w:r>
      <w:r>
        <w:t>No rotar ni inclinar el símbolo.</w:t>
      </w:r>
    </w:p>
    <w:p>
      <w:r>
        <w:rPr>
          <w:color w:val="E10600"/>
        </w:rPr>
        <w:t xml:space="preserve">• </w:t>
      </w:r>
      <w:r>
        <w:t>No alterar la cantidad ni la disposición de las estrellas.</w:t>
      </w:r>
    </w:p>
    <w:p>
      <w:r>
        <w:rPr>
          <w:color w:val="E10600"/>
        </w:rPr>
        <w:t xml:space="preserve">• </w:t>
      </w:r>
      <w:r>
        <w:t>No reemplazar la paleta institucional por colores estridentes.</w:t>
      </w:r>
    </w:p>
    <w:p>
      <w:r>
        <w:rPr>
          <w:color w:val="E10600"/>
        </w:rPr>
        <w:t xml:space="preserve">• </w:t>
      </w:r>
      <w:r>
        <w:t>No añadir biseles, sombras exageradas, cadenas, candados u otros clichés externos.</w:t>
      </w:r>
    </w:p>
    <w:p>
      <w:r>
        <w:rPr>
          <w:color w:val="E10600"/>
        </w:rPr>
        <w:t xml:space="preserve">• </w:t>
      </w:r>
      <w:r>
        <w:t>No comprimir, estirar ni deformar el wordmark.</w:t>
      </w:r>
    </w:p>
    <w:p>
      <w:r>
        <w:br w:type="page"/>
      </w:r>
    </w:p>
    <w:p>
      <w:pPr>
        <w:pStyle w:val="Heading1"/>
      </w:pPr>
      <w:r>
        <w:t>7. Tono de comunicación</w:t>
      </w:r>
    </w:p>
    <w:p>
      <w:pPr>
        <w:pStyle w:val="Heading2"/>
      </w:pPr>
      <w:r>
        <w:t>Tono base</w:t>
      </w:r>
    </w:p>
    <w:p>
      <w:r>
        <w:t>Profesional, claro, objetivo y confiable. Debe transmitir capacidad técnica sin tecnicismo innecesario.</w:t>
      </w:r>
    </w:p>
    <w:p>
      <w:pPr>
        <w:pStyle w:val="Heading2"/>
      </w:pPr>
      <w:r>
        <w:t>Lenguaje</w:t>
      </w:r>
    </w:p>
    <w:p>
      <w:r>
        <w:t>Hablar de protección, continuidad, resguardo, trazabilidad, control y confianza. Evitar el dramatismo vacío o el lenguaje intimidatorio.</w:t>
      </w:r>
    </w:p>
    <w:p>
      <w:pPr>
        <w:pStyle w:val="Heading2"/>
      </w:pPr>
      <w:r>
        <w:t>Promesa verbal</w:t>
      </w:r>
    </w:p>
    <w:p>
      <w:r>
        <w:t>BySalomon protege valor invisible y vuelve entendible la seguridad aplicada a archivos, evidencia e información sensible.</w:t>
      </w:r>
    </w:p>
    <w:p>
      <w:pPr>
        <w:pStyle w:val="Heading1"/>
      </w:pPr>
      <w:r>
        <w:t>8. Sectores objetivo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6" w:space="0" w:color="D9DEE8"/>
          <w:left w:val="single" w:sz="6" w:space="0" w:color="D9DEE8"/>
          <w:bottom w:val="single" w:sz="6" w:space="0" w:color="D9DEE8"/>
          <w:right w:val="single" w:sz="6" w:space="0" w:color="D9DEE8"/>
          <w:insideH w:val="single" w:sz="6" w:space="0" w:color="D9DEE8"/>
          <w:insideV w:val="single" w:sz="6" w:space="0" w:color="D9DEE8"/>
        </w:tblBorders>
      </w:tblPr>
      <w:tblGrid>
        <w:gridCol w:w="3402"/>
        <w:gridCol w:w="5953"/>
      </w:tblGrid>
      <w:tr>
        <w:tc>
          <w:tcPr>
            <w:tcW w:type="dxa" w:w="4929"/>
            <w:shd w:fill="13293D"/>
          </w:tcPr>
          <w:p>
            <w:pPr>
              <w:jc w:val="center"/>
            </w:pPr>
            <w:r>
              <w:rPr>
                <w:b/>
                <w:color w:val="F5F7FA"/>
              </w:rPr>
              <w:t>Sector</w:t>
            </w:r>
          </w:p>
        </w:tc>
        <w:tc>
          <w:tcPr>
            <w:tcW w:type="dxa" w:w="4929"/>
            <w:shd w:fill="13293D"/>
          </w:tcPr>
          <w:p>
            <w:pPr>
              <w:jc w:val="center"/>
            </w:pPr>
            <w:r>
              <w:rPr>
                <w:b/>
                <w:color w:val="F5F7FA"/>
              </w:rPr>
              <w:t>Necesidad central</w:t>
            </w:r>
          </w:p>
        </w:tc>
      </w:tr>
      <w:tr>
        <w:tc>
          <w:tcPr>
            <w:tcW w:type="dxa" w:w="3402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Estudios jurídicos y contables</w:t>
            </w:r>
          </w:p>
        </w:tc>
        <w:tc>
          <w:tcPr>
            <w:tcW w:type="dxa" w:w="5953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Manejo de documentos, evidencia, trazabilidad y resguardo de información.</w:t>
            </w:r>
          </w:p>
        </w:tc>
      </w:tr>
      <w:tr>
        <w:tc>
          <w:tcPr>
            <w:tcW w:type="dxa" w:w="3402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Mutualistas, clínicas y laboratorios</w:t>
            </w:r>
          </w:p>
        </w:tc>
        <w:tc>
          <w:tcPr>
            <w:tcW w:type="dxa" w:w="5953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Necesidad de orden, confidencialidad y procesos documentales más seguros.</w:t>
            </w:r>
          </w:p>
        </w:tc>
      </w:tr>
      <w:tr>
        <w:tc>
          <w:tcPr>
            <w:tcW w:type="dxa" w:w="3402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Inmobiliarias, administraciones y servicios profesionales</w:t>
            </w:r>
          </w:p>
        </w:tc>
        <w:tc>
          <w:tcPr>
            <w:tcW w:type="dxa" w:w="5953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Contratos, respaldos, documentación sensible y continuidad operativa.</w:t>
            </w:r>
          </w:p>
        </w:tc>
      </w:tr>
      <w:tr>
        <w:tc>
          <w:tcPr>
            <w:tcW w:type="dxa" w:w="3402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Instituciones educativas y organizaciones</w:t>
            </w:r>
          </w:p>
        </w:tc>
        <w:tc>
          <w:tcPr>
            <w:tcW w:type="dxa" w:w="5953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Resguardo de archivos, procedimientos y materiales con valor institucional.</w:t>
            </w:r>
          </w:p>
        </w:tc>
      </w:tr>
      <w:tr>
        <w:tc>
          <w:tcPr>
            <w:tcW w:type="dxa" w:w="3402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Empresas del interior y estructuras administrativas</w:t>
            </w:r>
          </w:p>
        </w:tc>
        <w:tc>
          <w:tcPr>
            <w:tcW w:type="dxa" w:w="5953"/>
            <w:tcMar>
              <w:top w:w="130" w:type="dxa"/>
              <w:start w:w="110" w:type="dxa"/>
              <w:bottom w:w="130" w:type="dxa"/>
              <w:end w:w="110" w:type="dxa"/>
            </w:tcMar>
            <w:vAlign w:val="center"/>
          </w:tcPr>
          <w:p>
            <w:r>
              <w:t>Necesidad de soluciones claras, útiles y comercialmente razonables.</w:t>
            </w:r>
          </w:p>
        </w:tc>
      </w:tr>
    </w:tbl>
    <w:p>
      <w:pPr>
        <w:pStyle w:val="Heading1"/>
      </w:pPr>
      <w:r>
        <w:t>9. Aplicaciones prioritarias</w:t>
      </w:r>
    </w:p>
    <w:p>
      <w:r>
        <w:rPr>
          <w:color w:val="0F1C2E"/>
        </w:rPr>
        <w:t xml:space="preserve">• </w:t>
      </w:r>
      <w:r>
        <w:t>Landing privada del prototipo y futuras páginas de producto.</w:t>
      </w:r>
    </w:p>
    <w:p>
      <w:r>
        <w:rPr>
          <w:color w:val="0F1C2E"/>
        </w:rPr>
        <w:t xml:space="preserve">• </w:t>
      </w:r>
      <w:r>
        <w:t>Documentos DOCX y PDF institucionales con marca de agua y pie de autoría.</w:t>
      </w:r>
    </w:p>
    <w:p>
      <w:r>
        <w:rPr>
          <w:color w:val="0F1C2E"/>
        </w:rPr>
        <w:t xml:space="preserve">• </w:t>
      </w:r>
      <w:r>
        <w:t>Propuestas comerciales, presentaciones a aliados e inversores.</w:t>
      </w:r>
    </w:p>
    <w:p>
      <w:r>
        <w:rPr>
          <w:color w:val="0F1C2E"/>
        </w:rPr>
        <w:t xml:space="preserve">• </w:t>
      </w:r>
      <w:r>
        <w:t>Membretes, firmas digitales, portada de manuales y materiales de demo.</w:t>
      </w:r>
    </w:p>
    <w:p>
      <w:r>
        <w:rPr>
          <w:color w:val="0F1C2E"/>
        </w:rPr>
        <w:t xml:space="preserve">• </w:t>
      </w:r>
      <w:r>
        <w:t>Avatar, favicon, isotipo para producto y portada de interfaces.</w:t>
      </w:r>
    </w:p>
    <w:p>
      <w:pPr>
        <w:pStyle w:val="Heading1"/>
      </w:pPr>
      <w:r>
        <w:t>10. Criterio final de marca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0" w:space="0" w:color="0F1C2E"/>
          <w:left w:val="single" w:sz="10" w:space="0" w:color="0F1C2E"/>
          <w:bottom w:val="single" w:sz="10" w:space="0" w:color="0F1C2E"/>
          <w:right w:val="single" w:sz="10" w:space="0" w:color="0F1C2E"/>
          <w:insideH w:val="single" w:sz="10" w:space="0" w:color="0F1C2E"/>
          <w:insideV w:val="single" w:sz="10" w:space="0" w:color="0F1C2E"/>
        </w:tblBorders>
      </w:tblPr>
      <w:tblGrid>
        <w:gridCol w:w="9858"/>
      </w:tblGrid>
      <w:tr>
        <w:tc>
          <w:tcPr>
            <w:tcW w:type="dxa" w:w="9858"/>
            <w:shd w:fill="0F1C2E"/>
            <w:tcMar>
              <w:top w:w="180" w:type="dxa"/>
              <w:start w:w="180" w:type="dxa"/>
              <w:bottom w:w="180" w:type="dxa"/>
              <w:end w:w="180" w:type="dxa"/>
            </w:tcMar>
          </w:tcPr>
          <w:p>
            <w:r>
              <w:rPr>
                <w:b/>
                <w:color w:val="F5F7FA"/>
                <w:sz w:val="26"/>
              </w:rPr>
              <w:t>BySalomon debe verse como una empresa que ya existe, que puede vender, firmar y proteger.</w:t>
            </w:r>
          </w:p>
          <w:p>
            <w:r>
              <w:rPr>
                <w:color w:val="EBF0F6"/>
              </w:rPr>
              <w:t>Toda pieza visual o verbal de la marca debe sostener tres ideas a la vez: confianza institucional, tecnología con criterio y protección concreta de información valiosa.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91" w:bottom="1020" w:left="119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7B8B"/>
        <w:sz w:val="16"/>
      </w:rPr>
      <w:t xml:space="preserve">Maisalmo - Pablo Salomón de León  |  Manual de Marca BySalomon  |  Página </w:t>
    </w: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D2D6DE"/>
        <w:sz w:val="16"/>
      </w:rPr>
      <w:t>Maisalmo - Pablo Salomón de León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color w:val="222B3A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" w:hAnsi="Aptos"/>
      <w:b/>
      <w:bCs/>
      <w:color w:val="0F1C2E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/>
      <w:b/>
      <w:bCs/>
      <w:color w:val="13293D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" w:hAnsi="Aptos"/>
      <w:b/>
      <w:bCs/>
      <w:color w:val="13293D"/>
      <w:sz w:val="2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" w:hAnsi="Aptos"/>
      <w:b/>
      <w:color w:val="0F1C2E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ptos" w:hAnsi="Aptos"/>
      <w:i/>
      <w:iCs/>
      <w:color w:val="5A6679"/>
      <w:spacing w:val="15"/>
      <w:sz w:val="2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