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1920240" cy="171623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D306A08B-534F-4005-8E5C-36D7D6989EC0.jpe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20240" cy="17162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TitleCustom"/>
        <w:spacing w:before="0" w:after="40" w:line="276" w:lineRule="auto"/>
        <w:jc w:val="center"/>
      </w:pPr>
      <w:r>
        <w:rPr>
          <w:rFonts w:ascii="Aptos" w:hAnsi="Aptos"/>
          <w:b w:val="0"/>
          <w:i w:val="0"/>
          <w:color w:val="0B0F14"/>
          <w:sz w:val="22"/>
        </w:rPr>
        <w:t>BySalomon</w:t>
      </w:r>
    </w:p>
    <w:p>
      <w:pPr>
        <w:pStyle w:val="SubtitleCustom"/>
        <w:spacing w:before="0" w:after="280" w:line="276" w:lineRule="auto"/>
        <w:jc w:val="center"/>
      </w:pPr>
      <w:r>
        <w:rPr>
          <w:rFonts w:ascii="Aptos" w:hAnsi="Aptos"/>
          <w:b w:val="0"/>
          <w:i w:val="0"/>
          <w:color w:val="0B0F14"/>
          <w:sz w:val="22"/>
        </w:rPr>
        <w:t>Objetivo de la empresa, foco comercial y público objetivo</w:t>
      </w:r>
    </w:p>
    <w:p>
      <w:pPr>
        <w:jc w:val="center"/>
        <w:pBdr>
          <w:bottom w:val="single" w:sz="10" w:space="1" w:color="E10600"/>
        </w:pBdr>
      </w:pPr>
      <w:r/>
    </w:p>
    <w:p>
      <w:pPr>
        <w:pStyle w:val="BodyCustom"/>
        <w:spacing w:before="240" w:after="200" w:line="307" w:lineRule="auto"/>
        <w:jc w:val="both"/>
      </w:pPr>
      <w:r>
        <w:rPr>
          <w:rFonts w:ascii="Aptos" w:hAnsi="Aptos"/>
          <w:b w:val="0"/>
          <w:i w:val="0"/>
          <w:color w:val="0B0F14"/>
          <w:sz w:val="22"/>
        </w:rPr>
        <w:t>BySalomon nace como una marca orientada a la seguridad digital práctica, al resguardo inteligente de documentos y a la protección de información de alto valor operativo. Su primer frente comercial es Codificador: una solución pensada para transformar, encapsular y proteger archivos sensibles con una experiencia simple, profesional y confiable.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040"/>
      </w:tblGrid>
      <w:tr>
        <w:tc>
          <w:tcPr>
            <w:tcW w:type="dxa" w:w="8784"/>
            <w:shd w:fill="F5F7FA"/>
            <w:tcMar>
              <w:top w:w="120" w:type="dxa"/>
              <w:start w:w="160" w:type="dxa"/>
              <w:bottom w:w="120" w:type="dxa"/>
              <w:end w:w="16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b/>
                <w:color w:val="0F1C2E"/>
                <w:sz w:val="21"/>
              </w:rPr>
              <w:t>Definición síntesis</w:t>
            </w:r>
          </w:p>
          <w:p>
            <w:pPr>
              <w:spacing w:before="80" w:after="0" w:line="283" w:lineRule="auto"/>
            </w:pPr>
            <w:r>
              <w:rPr>
                <w:rFonts w:ascii="Aptos" w:hAnsi="Aptos"/>
                <w:sz w:val="21"/>
              </w:rPr>
              <w:t>Empresa uruguaya de tecnología aplicada a la seguridad documental, codificación y protección de información sensible, orientada inicialmente a organizaciones que necesitan control, resguardo y confianza.</w:t>
            </w:r>
          </w:p>
        </w:tc>
      </w:tr>
    </w:tbl>
    <w:p>
      <w:pPr>
        <w:pStyle w:val="BodyCustom"/>
        <w:spacing w:before="0" w:after="40" w:line="276" w:lineRule="auto"/>
      </w:pPr>
      <w:r>
        <w:rPr>
          <w:rFonts w:ascii="Aptos" w:hAnsi="Aptos"/>
          <w:b w:val="0"/>
          <w:i w:val="0"/>
          <w:color w:val="0B0F14"/>
          <w:sz w:val="22"/>
        </w:rPr>
      </w:r>
    </w:p>
    <w:p>
      <w:pPr>
        <w:pStyle w:val="SectionCustom"/>
        <w:spacing w:before="160" w:after="120" w:line="276" w:lineRule="auto"/>
      </w:pPr>
      <w:r>
        <w:rPr>
          <w:rFonts w:ascii="Aptos" w:hAnsi="Aptos"/>
          <w:b w:val="0"/>
          <w:i w:val="0"/>
          <w:color w:val="0B0F14"/>
          <w:sz w:val="22"/>
        </w:rPr>
        <w:t>1. Objetivo general de la empresa</w:t>
      </w:r>
    </w:p>
    <w:p>
      <w:pPr>
        <w:pStyle w:val="BodyCustom"/>
        <w:spacing w:before="0" w:after="120" w:line="300" w:lineRule="auto"/>
        <w:jc w:val="both"/>
      </w:pPr>
      <w:r>
        <w:rPr>
          <w:rFonts w:ascii="Aptos" w:hAnsi="Aptos"/>
          <w:b w:val="0"/>
          <w:i w:val="0"/>
          <w:color w:val="0B0F14"/>
          <w:sz w:val="22"/>
        </w:rPr>
        <w:t>Construir una empresa confiable, escalable y comercialmente sólida alrededor de soluciones de seguridad documental y protección de información, comenzando por un producto práctico y diferenciador que permita a personas y organizaciones codificar, resguardar y administrar archivos sensibles con una lógica de uso simple y valor institucional claro.</w:t>
      </w:r>
    </w:p>
    <w:p>
      <w:pPr>
        <w:pStyle w:val="SectionCustom"/>
        <w:spacing w:before="160" w:after="80" w:line="276" w:lineRule="auto"/>
      </w:pPr>
      <w:r>
        <w:rPr>
          <w:rFonts w:ascii="Aptos" w:hAnsi="Aptos"/>
          <w:b w:val="0"/>
          <w:i w:val="0"/>
          <w:color w:val="0B0F14"/>
          <w:sz w:val="22"/>
        </w:rPr>
        <w:t>2. Objetivos específicos de la primera etapa</w:t>
      </w:r>
    </w:p>
    <w:p>
      <w:pPr>
        <w:pStyle w:val="BodyCustom"/>
        <w:spacing w:line="283" w:lineRule="auto"/>
        <w:ind w:left="227" w:hanging="113"/>
      </w:pPr>
      <w:r>
        <w:rPr>
          <w:color w:val="E10600"/>
        </w:rPr>
        <w:t xml:space="preserve">• </w:t>
      </w:r>
      <w:r>
        <w:rPr>
          <w:rFonts w:ascii="Aptos" w:hAnsi="Aptos"/>
          <w:color w:val="0B0F14"/>
          <w:sz w:val="21"/>
        </w:rPr>
        <w:t>Consolidar el producto Codificador como prueba de valor visible y utilizable.</w:t>
      </w:r>
    </w:p>
    <w:p>
      <w:pPr>
        <w:pStyle w:val="BodyCustom"/>
        <w:spacing w:line="283" w:lineRule="auto"/>
        <w:ind w:left="227" w:hanging="113"/>
      </w:pPr>
      <w:r>
        <w:rPr>
          <w:color w:val="E10600"/>
        </w:rPr>
        <w:t xml:space="preserve">• </w:t>
      </w:r>
      <w:r>
        <w:rPr>
          <w:rFonts w:ascii="Aptos" w:hAnsi="Aptos"/>
          <w:color w:val="0B0F14"/>
          <w:sz w:val="21"/>
        </w:rPr>
        <w:t>Posicionar a BySalomon como marca madre seria, sobria y técnicamente confiable.</w:t>
      </w:r>
    </w:p>
    <w:p>
      <w:pPr>
        <w:pStyle w:val="BodyCustom"/>
        <w:spacing w:line="283" w:lineRule="auto"/>
        <w:ind w:left="227" w:hanging="113"/>
      </w:pPr>
      <w:r>
        <w:rPr>
          <w:color w:val="E10600"/>
        </w:rPr>
        <w:t xml:space="preserve">• </w:t>
      </w:r>
      <w:r>
        <w:rPr>
          <w:rFonts w:ascii="Aptos" w:hAnsi="Aptos"/>
          <w:color w:val="0B0F14"/>
          <w:sz w:val="21"/>
        </w:rPr>
        <w:t>Iniciar la captación comercial en Uruguay con foco en organizaciones que manejan documentación delicada.</w:t>
      </w:r>
    </w:p>
    <w:p>
      <w:pPr>
        <w:pStyle w:val="BodyCustom"/>
        <w:spacing w:line="283" w:lineRule="auto"/>
        <w:ind w:left="227" w:hanging="113"/>
      </w:pPr>
      <w:r>
        <w:rPr>
          <w:color w:val="E10600"/>
        </w:rPr>
        <w:t xml:space="preserve">• </w:t>
      </w:r>
      <w:r>
        <w:rPr>
          <w:rFonts w:ascii="Aptos" w:hAnsi="Aptos"/>
          <w:color w:val="0B0F14"/>
          <w:sz w:val="21"/>
        </w:rPr>
        <w:t>Ofrecer una modalidad de entrada simple: registro, prueba controlada y planes recurrentes.</w:t>
      </w:r>
    </w:p>
    <w:p>
      <w:pPr>
        <w:pStyle w:val="BodyCustom"/>
        <w:spacing w:line="283" w:lineRule="auto"/>
        <w:ind w:left="227" w:hanging="113"/>
      </w:pPr>
      <w:r>
        <w:rPr>
          <w:color w:val="E10600"/>
        </w:rPr>
        <w:t xml:space="preserve">• </w:t>
      </w:r>
      <w:r>
        <w:rPr>
          <w:rFonts w:ascii="Aptos" w:hAnsi="Aptos"/>
          <w:color w:val="0B0F14"/>
          <w:sz w:val="21"/>
        </w:rPr>
        <w:t>Preparar el terreno para alianzas, convenios y eventualmente inversión estratégica.</w:t>
      </w:r>
    </w:p>
    <w:p>
      <w:pPr>
        <w:pStyle w:val="BodyCustom"/>
        <w:spacing w:line="283" w:lineRule="auto"/>
        <w:ind w:left="227" w:hanging="113"/>
      </w:pPr>
      <w:r>
        <w:rPr>
          <w:color w:val="E10600"/>
        </w:rPr>
        <w:t xml:space="preserve">• </w:t>
      </w:r>
      <w:r>
        <w:rPr>
          <w:rFonts w:ascii="Aptos" w:hAnsi="Aptos"/>
          <w:color w:val="0B0F14"/>
          <w:sz w:val="21"/>
        </w:rPr>
        <w:t>Desarrollar una base documental y visual apta para presentaciones, propuestas y registro de marca.</w:t>
      </w:r>
    </w:p>
    <w:p>
      <w:pPr>
        <w:pStyle w:val="SectionCustom"/>
        <w:spacing w:before="200" w:after="120" w:line="276" w:lineRule="auto"/>
      </w:pPr>
      <w:r>
        <w:rPr>
          <w:rFonts w:ascii="Aptos" w:hAnsi="Aptos"/>
          <w:b w:val="0"/>
          <w:i w:val="0"/>
          <w:color w:val="0B0F14"/>
          <w:sz w:val="22"/>
        </w:rPr>
        <w:t>3. Mercado inicial y sectores objetivo</w:t>
      </w:r>
    </w:p>
    <w:p>
      <w:pPr>
        <w:pStyle w:val="BodyCustom"/>
        <w:spacing w:before="0" w:after="120" w:line="293" w:lineRule="auto"/>
        <w:jc w:val="both"/>
      </w:pPr>
      <w:r>
        <w:rPr>
          <w:rFonts w:ascii="Aptos" w:hAnsi="Aptos"/>
          <w:b w:val="0"/>
          <w:i w:val="0"/>
          <w:color w:val="0B0F14"/>
          <w:sz w:val="22"/>
        </w:rPr>
        <w:t>La entrada recomendada no es “ciberseguridad general”, sino seguridad documental aplicada, porque permite vender un beneficio concreto: protección, resguardo y control de archivos importantes.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304"/>
        <w:gridCol w:w="3168"/>
        <w:gridCol w:w="2160"/>
        <w:gridCol w:w="2016"/>
      </w:tblGrid>
      <w:tr>
        <w:tc>
          <w:tcPr>
            <w:tcW w:type="dxa" w:w="2304"/>
            <w:shd w:fill="13293D"/>
            <w:tcMar>
              <w:top w:w="100" w:type="dxa"/>
              <w:start w:w="110" w:type="dxa"/>
              <w:bottom w:w="100" w:type="dxa"/>
              <w:end w:w="11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b/>
                <w:color w:val="F5F7FA"/>
                <w:sz w:val="20"/>
              </w:rPr>
              <w:t>Sector objetivo</w:t>
            </w:r>
          </w:p>
        </w:tc>
        <w:tc>
          <w:tcPr>
            <w:tcW w:type="dxa" w:w="3168"/>
            <w:shd w:fill="13293D"/>
            <w:tcMar>
              <w:top w:w="100" w:type="dxa"/>
              <w:start w:w="110" w:type="dxa"/>
              <w:bottom w:w="100" w:type="dxa"/>
              <w:end w:w="11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b/>
                <w:color w:val="F5F7FA"/>
                <w:sz w:val="20"/>
              </w:rPr>
              <w:t>Dolor principal</w:t>
            </w:r>
          </w:p>
        </w:tc>
        <w:tc>
          <w:tcPr>
            <w:tcW w:type="dxa" w:w="2160"/>
            <w:shd w:fill="13293D"/>
            <w:tcMar>
              <w:top w:w="100" w:type="dxa"/>
              <w:start w:w="110" w:type="dxa"/>
              <w:bottom w:w="100" w:type="dxa"/>
              <w:end w:w="11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b/>
                <w:color w:val="F5F7FA"/>
                <w:sz w:val="20"/>
              </w:rPr>
              <w:t>Valor percibido</w:t>
            </w:r>
          </w:p>
        </w:tc>
        <w:tc>
          <w:tcPr>
            <w:tcW w:type="dxa" w:w="2016"/>
            <w:shd w:fill="13293D"/>
            <w:tcMar>
              <w:top w:w="100" w:type="dxa"/>
              <w:start w:w="110" w:type="dxa"/>
              <w:bottom w:w="100" w:type="dxa"/>
              <w:end w:w="11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b/>
                <w:color w:val="F5F7FA"/>
                <w:sz w:val="20"/>
              </w:rPr>
              <w:t>Prioridad</w:t>
            </w:r>
          </w:p>
        </w:tc>
      </w:tr>
      <w:tr>
        <w:tc>
          <w:tcPr>
            <w:tcW w:type="dxa" w:w="2304"/>
            <w:tcMar>
              <w:top w:w="105" w:type="dxa"/>
              <w:start w:w="115" w:type="dxa"/>
              <w:bottom w:w="105" w:type="dxa"/>
              <w:end w:w="115" w:type="dxa"/>
            </w:tcMar>
            <w:vAlign w:val="center"/>
            <w:shd w:fill="FFFFFF"/>
          </w:tcPr>
          <w:p>
            <w:pPr>
              <w:jc w:val="left"/>
            </w:pPr>
            <w:r>
              <w:rPr>
                <w:rFonts w:ascii="Aptos" w:hAnsi="Aptos"/>
                <w:color w:val="0B0F14"/>
                <w:sz w:val="20"/>
              </w:rPr>
              <w:t>Estudios jurídicos</w:t>
            </w:r>
          </w:p>
        </w:tc>
        <w:tc>
          <w:tcPr>
            <w:tcW w:type="dxa" w:w="3168"/>
            <w:tcMar>
              <w:top w:w="105" w:type="dxa"/>
              <w:start w:w="115" w:type="dxa"/>
              <w:bottom w:w="105" w:type="dxa"/>
              <w:end w:w="115" w:type="dxa"/>
            </w:tcMar>
            <w:vAlign w:val="center"/>
            <w:shd w:fill="FFFFFF"/>
          </w:tcPr>
          <w:p>
            <w:pPr>
              <w:jc w:val="left"/>
            </w:pPr>
            <w:r>
              <w:rPr>
                <w:rFonts w:ascii="Aptos" w:hAnsi="Aptos"/>
                <w:color w:val="0B0F14"/>
                <w:sz w:val="20"/>
              </w:rPr>
              <w:t>Expedientes, contratos y evidencia sensible</w:t>
            </w:r>
          </w:p>
        </w:tc>
        <w:tc>
          <w:tcPr>
            <w:tcW w:type="dxa" w:w="2160"/>
            <w:tcMar>
              <w:top w:w="105" w:type="dxa"/>
              <w:start w:w="115" w:type="dxa"/>
              <w:bottom w:w="105" w:type="dxa"/>
              <w:end w:w="115" w:type="dxa"/>
            </w:tcMar>
            <w:vAlign w:val="center"/>
            <w:shd w:fill="FFFFFF"/>
          </w:tcPr>
          <w:p>
            <w:pPr>
              <w:jc w:val="left"/>
            </w:pPr>
            <w:r>
              <w:rPr>
                <w:rFonts w:ascii="Aptos" w:hAnsi="Aptos"/>
                <w:color w:val="0B0F14"/>
                <w:sz w:val="20"/>
              </w:rPr>
              <w:t>Confidencialidad y orden documental</w:t>
            </w:r>
          </w:p>
        </w:tc>
        <w:tc>
          <w:tcPr>
            <w:tcW w:type="dxa" w:w="2016"/>
            <w:tcMar>
              <w:top w:w="105" w:type="dxa"/>
              <w:start w:w="115" w:type="dxa"/>
              <w:bottom w:w="105" w:type="dxa"/>
              <w:end w:w="115" w:type="dxa"/>
            </w:tcMar>
            <w:vAlign w:val="center"/>
            <w:shd w:fill="EAF1F8"/>
          </w:tcPr>
          <w:p>
            <w:pPr>
              <w:jc w:val="center"/>
            </w:pPr>
            <w:r>
              <w:rPr>
                <w:rFonts w:ascii="Aptos" w:hAnsi="Aptos"/>
                <w:b/>
                <w:color w:val="0F1C2E"/>
                <w:sz w:val="20"/>
              </w:rPr>
              <w:t>Alta</w:t>
            </w:r>
          </w:p>
        </w:tc>
      </w:tr>
      <w:tr>
        <w:tc>
          <w:tcPr>
            <w:tcW w:type="dxa" w:w="2304"/>
            <w:tcMar>
              <w:top w:w="105" w:type="dxa"/>
              <w:start w:w="115" w:type="dxa"/>
              <w:bottom w:w="105" w:type="dxa"/>
              <w:end w:w="115" w:type="dxa"/>
            </w:tcMar>
            <w:vAlign w:val="center"/>
            <w:shd w:fill="FFFFFF"/>
          </w:tcPr>
          <w:p>
            <w:pPr>
              <w:jc w:val="left"/>
            </w:pPr>
            <w:r>
              <w:rPr>
                <w:rFonts w:ascii="Aptos" w:hAnsi="Aptos"/>
                <w:color w:val="0B0F14"/>
                <w:sz w:val="20"/>
              </w:rPr>
              <w:t>Estudios contables</w:t>
            </w:r>
          </w:p>
        </w:tc>
        <w:tc>
          <w:tcPr>
            <w:tcW w:type="dxa" w:w="3168"/>
            <w:tcMar>
              <w:top w:w="105" w:type="dxa"/>
              <w:start w:w="115" w:type="dxa"/>
              <w:bottom w:w="105" w:type="dxa"/>
              <w:end w:w="115" w:type="dxa"/>
            </w:tcMar>
            <w:vAlign w:val="center"/>
            <w:shd w:fill="FFFFFF"/>
          </w:tcPr>
          <w:p>
            <w:pPr>
              <w:jc w:val="left"/>
            </w:pPr>
            <w:r>
              <w:rPr>
                <w:rFonts w:ascii="Aptos" w:hAnsi="Aptos"/>
                <w:color w:val="0B0F14"/>
                <w:sz w:val="20"/>
              </w:rPr>
              <w:t>Resguardo de documentación fiscal y respaldos</w:t>
            </w:r>
          </w:p>
        </w:tc>
        <w:tc>
          <w:tcPr>
            <w:tcW w:type="dxa" w:w="2160"/>
            <w:tcMar>
              <w:top w:w="105" w:type="dxa"/>
              <w:start w:w="115" w:type="dxa"/>
              <w:bottom w:w="105" w:type="dxa"/>
              <w:end w:w="115" w:type="dxa"/>
            </w:tcMar>
            <w:vAlign w:val="center"/>
            <w:shd w:fill="FFFFFF"/>
          </w:tcPr>
          <w:p>
            <w:pPr>
              <w:jc w:val="left"/>
            </w:pPr>
            <w:r>
              <w:rPr>
                <w:rFonts w:ascii="Aptos" w:hAnsi="Aptos"/>
                <w:color w:val="0B0F14"/>
                <w:sz w:val="20"/>
              </w:rPr>
              <w:t>Protección operativa y trazabilidad</w:t>
            </w:r>
          </w:p>
        </w:tc>
        <w:tc>
          <w:tcPr>
            <w:tcW w:type="dxa" w:w="2016"/>
            <w:tcMar>
              <w:top w:w="105" w:type="dxa"/>
              <w:start w:w="115" w:type="dxa"/>
              <w:bottom w:w="105" w:type="dxa"/>
              <w:end w:w="115" w:type="dxa"/>
            </w:tcMar>
            <w:vAlign w:val="center"/>
            <w:shd w:fill="EAF1F8"/>
          </w:tcPr>
          <w:p>
            <w:pPr>
              <w:jc w:val="center"/>
            </w:pPr>
            <w:r>
              <w:rPr>
                <w:rFonts w:ascii="Aptos" w:hAnsi="Aptos"/>
                <w:b/>
                <w:color w:val="0F1C2E"/>
                <w:sz w:val="20"/>
              </w:rPr>
              <w:t>Alta</w:t>
            </w:r>
          </w:p>
        </w:tc>
      </w:tr>
      <w:tr>
        <w:tc>
          <w:tcPr>
            <w:tcW w:type="dxa" w:w="2304"/>
            <w:tcMar>
              <w:top w:w="105" w:type="dxa"/>
              <w:start w:w="115" w:type="dxa"/>
              <w:bottom w:w="105" w:type="dxa"/>
              <w:end w:w="115" w:type="dxa"/>
            </w:tcMar>
            <w:vAlign w:val="center"/>
            <w:shd w:fill="FFFFFF"/>
          </w:tcPr>
          <w:p>
            <w:pPr>
              <w:jc w:val="left"/>
            </w:pPr>
            <w:r>
              <w:rPr>
                <w:rFonts w:ascii="Aptos" w:hAnsi="Aptos"/>
                <w:color w:val="0B0F14"/>
                <w:sz w:val="20"/>
              </w:rPr>
              <w:t>Mutualistas y clínicas</w:t>
            </w:r>
          </w:p>
        </w:tc>
        <w:tc>
          <w:tcPr>
            <w:tcW w:type="dxa" w:w="3168"/>
            <w:tcMar>
              <w:top w:w="105" w:type="dxa"/>
              <w:start w:w="115" w:type="dxa"/>
              <w:bottom w:w="105" w:type="dxa"/>
              <w:end w:w="115" w:type="dxa"/>
            </w:tcMar>
            <w:vAlign w:val="center"/>
            <w:shd w:fill="FFFFFF"/>
          </w:tcPr>
          <w:p>
            <w:pPr>
              <w:jc w:val="left"/>
            </w:pPr>
            <w:r>
              <w:rPr>
                <w:rFonts w:ascii="Aptos" w:hAnsi="Aptos"/>
                <w:color w:val="0B0F14"/>
                <w:sz w:val="20"/>
              </w:rPr>
              <w:t>Información asistencial y archivos internos</w:t>
            </w:r>
          </w:p>
        </w:tc>
        <w:tc>
          <w:tcPr>
            <w:tcW w:type="dxa" w:w="2160"/>
            <w:tcMar>
              <w:top w:w="105" w:type="dxa"/>
              <w:start w:w="115" w:type="dxa"/>
              <w:bottom w:w="105" w:type="dxa"/>
              <w:end w:w="115" w:type="dxa"/>
            </w:tcMar>
            <w:vAlign w:val="center"/>
            <w:shd w:fill="FFFFFF"/>
          </w:tcPr>
          <w:p>
            <w:pPr>
              <w:jc w:val="left"/>
            </w:pPr>
            <w:r>
              <w:rPr>
                <w:rFonts w:ascii="Aptos" w:hAnsi="Aptos"/>
                <w:color w:val="0B0F14"/>
                <w:sz w:val="20"/>
              </w:rPr>
              <w:t>Seguridad, control y confianza</w:t>
            </w:r>
          </w:p>
        </w:tc>
        <w:tc>
          <w:tcPr>
            <w:tcW w:type="dxa" w:w="2016"/>
            <w:tcMar>
              <w:top w:w="105" w:type="dxa"/>
              <w:start w:w="115" w:type="dxa"/>
              <w:bottom w:w="105" w:type="dxa"/>
              <w:end w:w="115" w:type="dxa"/>
            </w:tcMar>
            <w:vAlign w:val="center"/>
            <w:shd w:fill="EAF1F8"/>
          </w:tcPr>
          <w:p>
            <w:pPr>
              <w:jc w:val="center"/>
            </w:pPr>
            <w:r>
              <w:rPr>
                <w:rFonts w:ascii="Aptos" w:hAnsi="Aptos"/>
                <w:b/>
                <w:color w:val="0F1C2E"/>
                <w:sz w:val="20"/>
              </w:rPr>
              <w:t>Alta</w:t>
            </w:r>
          </w:p>
        </w:tc>
      </w:tr>
      <w:tr>
        <w:tc>
          <w:tcPr>
            <w:tcW w:type="dxa" w:w="2304"/>
            <w:tcMar>
              <w:top w:w="105" w:type="dxa"/>
              <w:start w:w="115" w:type="dxa"/>
              <w:bottom w:w="105" w:type="dxa"/>
              <w:end w:w="115" w:type="dxa"/>
            </w:tcMar>
            <w:vAlign w:val="center"/>
            <w:shd w:fill="FFFFFF"/>
          </w:tcPr>
          <w:p>
            <w:pPr>
              <w:jc w:val="left"/>
            </w:pPr>
            <w:r>
              <w:rPr>
                <w:rFonts w:ascii="Aptos" w:hAnsi="Aptos"/>
                <w:color w:val="0B0F14"/>
                <w:sz w:val="20"/>
              </w:rPr>
              <w:t>Laboratorios y servicios de salud</w:t>
            </w:r>
          </w:p>
        </w:tc>
        <w:tc>
          <w:tcPr>
            <w:tcW w:type="dxa" w:w="3168"/>
            <w:tcMar>
              <w:top w:w="105" w:type="dxa"/>
              <w:start w:w="115" w:type="dxa"/>
              <w:bottom w:w="105" w:type="dxa"/>
              <w:end w:w="115" w:type="dxa"/>
            </w:tcMar>
            <w:vAlign w:val="center"/>
            <w:shd w:fill="FFFFFF"/>
          </w:tcPr>
          <w:p>
            <w:pPr>
              <w:jc w:val="left"/>
            </w:pPr>
            <w:r>
              <w:rPr>
                <w:rFonts w:ascii="Aptos" w:hAnsi="Aptos"/>
                <w:color w:val="0B0F14"/>
                <w:sz w:val="20"/>
              </w:rPr>
              <w:t>Datos técnicos y documentación reservada</w:t>
            </w:r>
          </w:p>
        </w:tc>
        <w:tc>
          <w:tcPr>
            <w:tcW w:type="dxa" w:w="2160"/>
            <w:tcMar>
              <w:top w:w="105" w:type="dxa"/>
              <w:start w:w="115" w:type="dxa"/>
              <w:bottom w:w="105" w:type="dxa"/>
              <w:end w:w="115" w:type="dxa"/>
            </w:tcMar>
            <w:vAlign w:val="center"/>
            <w:shd w:fill="FFFFFF"/>
          </w:tcPr>
          <w:p>
            <w:pPr>
              <w:jc w:val="left"/>
            </w:pPr>
            <w:r>
              <w:rPr>
                <w:rFonts w:ascii="Aptos" w:hAnsi="Aptos"/>
                <w:color w:val="0B0F14"/>
                <w:sz w:val="20"/>
              </w:rPr>
              <w:t>Blindaje documental práctico</w:t>
            </w:r>
          </w:p>
        </w:tc>
        <w:tc>
          <w:tcPr>
            <w:tcW w:type="dxa" w:w="2016"/>
            <w:tcMar>
              <w:top w:w="105" w:type="dxa"/>
              <w:start w:w="115" w:type="dxa"/>
              <w:bottom w:w="105" w:type="dxa"/>
              <w:end w:w="115" w:type="dxa"/>
            </w:tcMar>
            <w:vAlign w:val="center"/>
            <w:shd w:fill="EAF1F8"/>
          </w:tcPr>
          <w:p>
            <w:pPr>
              <w:jc w:val="center"/>
            </w:pPr>
            <w:r>
              <w:rPr>
                <w:rFonts w:ascii="Aptos" w:hAnsi="Aptos"/>
                <w:b/>
                <w:color w:val="0F1C2E"/>
                <w:sz w:val="20"/>
              </w:rPr>
              <w:t>Media alta</w:t>
            </w:r>
          </w:p>
        </w:tc>
      </w:tr>
      <w:tr>
        <w:tc>
          <w:tcPr>
            <w:tcW w:type="dxa" w:w="2304"/>
            <w:tcMar>
              <w:top w:w="105" w:type="dxa"/>
              <w:start w:w="115" w:type="dxa"/>
              <w:bottom w:w="105" w:type="dxa"/>
              <w:end w:w="115" w:type="dxa"/>
            </w:tcMar>
            <w:vAlign w:val="center"/>
            <w:shd w:fill="FFFFFF"/>
          </w:tcPr>
          <w:p>
            <w:pPr>
              <w:jc w:val="left"/>
            </w:pPr>
            <w:r>
              <w:rPr>
                <w:rFonts w:ascii="Aptos" w:hAnsi="Aptos"/>
                <w:color w:val="0B0F14"/>
                <w:sz w:val="20"/>
              </w:rPr>
              <w:t>Inmobiliarias y administradores</w:t>
            </w:r>
          </w:p>
        </w:tc>
        <w:tc>
          <w:tcPr>
            <w:tcW w:type="dxa" w:w="3168"/>
            <w:tcMar>
              <w:top w:w="105" w:type="dxa"/>
              <w:start w:w="115" w:type="dxa"/>
              <w:bottom w:w="105" w:type="dxa"/>
              <w:end w:w="115" w:type="dxa"/>
            </w:tcMar>
            <w:vAlign w:val="center"/>
            <w:shd w:fill="FFFFFF"/>
          </w:tcPr>
          <w:p>
            <w:pPr>
              <w:jc w:val="left"/>
            </w:pPr>
            <w:r>
              <w:rPr>
                <w:rFonts w:ascii="Aptos" w:hAnsi="Aptos"/>
                <w:color w:val="0B0F14"/>
                <w:sz w:val="20"/>
              </w:rPr>
              <w:t>Contratos, archivos de clientes y respaldo</w:t>
            </w:r>
          </w:p>
        </w:tc>
        <w:tc>
          <w:tcPr>
            <w:tcW w:type="dxa" w:w="2160"/>
            <w:tcMar>
              <w:top w:w="105" w:type="dxa"/>
              <w:start w:w="115" w:type="dxa"/>
              <w:bottom w:w="105" w:type="dxa"/>
              <w:end w:w="115" w:type="dxa"/>
            </w:tcMar>
            <w:vAlign w:val="center"/>
            <w:shd w:fill="FFFFFF"/>
          </w:tcPr>
          <w:p>
            <w:pPr>
              <w:jc w:val="left"/>
            </w:pPr>
            <w:r>
              <w:rPr>
                <w:rFonts w:ascii="Aptos" w:hAnsi="Aptos"/>
                <w:color w:val="0B0F14"/>
                <w:sz w:val="20"/>
              </w:rPr>
              <w:t>Resguardo simple con valor comercial</w:t>
            </w:r>
          </w:p>
        </w:tc>
        <w:tc>
          <w:tcPr>
            <w:tcW w:type="dxa" w:w="2016"/>
            <w:tcMar>
              <w:top w:w="105" w:type="dxa"/>
              <w:start w:w="115" w:type="dxa"/>
              <w:bottom w:w="105" w:type="dxa"/>
              <w:end w:w="115" w:type="dxa"/>
            </w:tcMar>
            <w:vAlign w:val="center"/>
            <w:shd w:fill="F5F7FA"/>
          </w:tcPr>
          <w:p>
            <w:pPr>
              <w:jc w:val="center"/>
            </w:pPr>
            <w:r>
              <w:rPr>
                <w:rFonts w:ascii="Aptos" w:hAnsi="Aptos"/>
                <w:b/>
                <w:color w:val="0F1C2E"/>
                <w:sz w:val="20"/>
              </w:rPr>
              <w:t>Media</w:t>
            </w:r>
          </w:p>
        </w:tc>
      </w:tr>
      <w:tr>
        <w:tc>
          <w:tcPr>
            <w:tcW w:type="dxa" w:w="2304"/>
            <w:tcMar>
              <w:top w:w="105" w:type="dxa"/>
              <w:start w:w="115" w:type="dxa"/>
              <w:bottom w:w="105" w:type="dxa"/>
              <w:end w:w="115" w:type="dxa"/>
            </w:tcMar>
            <w:vAlign w:val="center"/>
            <w:shd w:fill="FFFFFF"/>
          </w:tcPr>
          <w:p>
            <w:pPr>
              <w:jc w:val="left"/>
            </w:pPr>
            <w:r>
              <w:rPr>
                <w:rFonts w:ascii="Aptos" w:hAnsi="Aptos"/>
                <w:color w:val="0B0F14"/>
                <w:sz w:val="20"/>
              </w:rPr>
              <w:t>Empresas administrativas</w:t>
            </w:r>
          </w:p>
        </w:tc>
        <w:tc>
          <w:tcPr>
            <w:tcW w:type="dxa" w:w="3168"/>
            <w:tcMar>
              <w:top w:w="105" w:type="dxa"/>
              <w:start w:w="115" w:type="dxa"/>
              <w:bottom w:w="105" w:type="dxa"/>
              <w:end w:w="115" w:type="dxa"/>
            </w:tcMar>
            <w:vAlign w:val="center"/>
            <w:shd w:fill="FFFFFF"/>
          </w:tcPr>
          <w:p>
            <w:pPr>
              <w:jc w:val="left"/>
            </w:pPr>
            <w:r>
              <w:rPr>
                <w:rFonts w:ascii="Aptos" w:hAnsi="Aptos"/>
                <w:color w:val="0B0F14"/>
                <w:sz w:val="20"/>
              </w:rPr>
              <w:t>Procesos internos y archivos críticos</w:t>
            </w:r>
          </w:p>
        </w:tc>
        <w:tc>
          <w:tcPr>
            <w:tcW w:type="dxa" w:w="2160"/>
            <w:tcMar>
              <w:top w:w="105" w:type="dxa"/>
              <w:start w:w="115" w:type="dxa"/>
              <w:bottom w:w="105" w:type="dxa"/>
              <w:end w:w="115" w:type="dxa"/>
            </w:tcMar>
            <w:vAlign w:val="center"/>
            <w:shd w:fill="FFFFFF"/>
          </w:tcPr>
          <w:p>
            <w:pPr>
              <w:jc w:val="left"/>
            </w:pPr>
            <w:r>
              <w:rPr>
                <w:rFonts w:ascii="Aptos" w:hAnsi="Aptos"/>
                <w:color w:val="0B0F14"/>
                <w:sz w:val="20"/>
              </w:rPr>
              <w:t>Control y reducción de riesgo</w:t>
            </w:r>
          </w:p>
        </w:tc>
        <w:tc>
          <w:tcPr>
            <w:tcW w:type="dxa" w:w="2016"/>
            <w:tcMar>
              <w:top w:w="105" w:type="dxa"/>
              <w:start w:w="115" w:type="dxa"/>
              <w:bottom w:w="105" w:type="dxa"/>
              <w:end w:w="115" w:type="dxa"/>
            </w:tcMar>
            <w:vAlign w:val="center"/>
            <w:shd w:fill="F5F7FA"/>
          </w:tcPr>
          <w:p>
            <w:pPr>
              <w:jc w:val="center"/>
            </w:pPr>
            <w:r>
              <w:rPr>
                <w:rFonts w:ascii="Aptos" w:hAnsi="Aptos"/>
                <w:b/>
                <w:color w:val="0F1C2E"/>
                <w:sz w:val="20"/>
              </w:rPr>
              <w:t>Media</w:t>
            </w:r>
          </w:p>
        </w:tc>
      </w:tr>
    </w:tbl>
    <w:p>
      <w:pPr>
        <w:pStyle w:val="SectionCustom"/>
        <w:spacing w:before="240" w:after="120" w:line="276" w:lineRule="auto"/>
      </w:pPr>
      <w:r>
        <w:rPr>
          <w:rFonts w:ascii="Aptos" w:hAnsi="Aptos"/>
          <w:b w:val="0"/>
          <w:i w:val="0"/>
          <w:color w:val="0B0F14"/>
          <w:sz w:val="22"/>
        </w:rPr>
        <w:t>4. Público objetivo</w:t>
      </w:r>
    </w:p>
    <w:p>
      <w:pPr>
        <w:pStyle w:val="SubsectionCustom"/>
        <w:spacing w:before="0" w:after="60" w:line="276" w:lineRule="auto"/>
      </w:pPr>
      <w:r>
        <w:rPr>
          <w:rFonts w:ascii="Aptos" w:hAnsi="Aptos"/>
          <w:b w:val="0"/>
          <w:i w:val="0"/>
          <w:color w:val="0B0F14"/>
          <w:sz w:val="22"/>
        </w:rPr>
        <w:t>Público principal</w:t>
      </w:r>
    </w:p>
    <w:p>
      <w:pPr>
        <w:pStyle w:val="BodyCustom"/>
        <w:spacing w:line="283" w:lineRule="auto"/>
        <w:ind w:left="227" w:hanging="113"/>
      </w:pPr>
      <w:r>
        <w:rPr>
          <w:color w:val="E10600"/>
        </w:rPr>
        <w:t xml:space="preserve">• </w:t>
      </w:r>
      <w:r>
        <w:rPr>
          <w:rFonts w:ascii="Aptos" w:hAnsi="Aptos"/>
          <w:sz w:val="21"/>
        </w:rPr>
        <w:t>Decisores de 35 a 65 años: dueños, gerentes generales, directores administrativos o responsables de procesos.</w:t>
      </w:r>
    </w:p>
    <w:p>
      <w:pPr>
        <w:pStyle w:val="BodyCustom"/>
        <w:spacing w:line="283" w:lineRule="auto"/>
        <w:ind w:left="227" w:hanging="113"/>
      </w:pPr>
      <w:r>
        <w:rPr>
          <w:color w:val="E10600"/>
        </w:rPr>
        <w:t xml:space="preserve">• </w:t>
      </w:r>
      <w:r>
        <w:rPr>
          <w:rFonts w:ascii="Aptos" w:hAnsi="Aptos"/>
          <w:sz w:val="21"/>
        </w:rPr>
        <w:t>Organizaciones que sienten que su documentación vale, pero no siempre tienen un sistema claro para protegerla o encapsularla.</w:t>
      </w:r>
    </w:p>
    <w:p>
      <w:pPr>
        <w:pStyle w:val="BodyCustom"/>
        <w:spacing w:line="283" w:lineRule="auto"/>
        <w:ind w:left="227" w:hanging="113"/>
      </w:pPr>
      <w:r>
        <w:rPr>
          <w:color w:val="E10600"/>
        </w:rPr>
        <w:t xml:space="preserve">• </w:t>
      </w:r>
      <w:r>
        <w:rPr>
          <w:rFonts w:ascii="Aptos" w:hAnsi="Aptos"/>
          <w:sz w:val="21"/>
        </w:rPr>
        <w:t>Clientes que compran confianza, continuidad operativa y orden; no solamente tecnología.</w:t>
      </w:r>
    </w:p>
    <w:p>
      <w:pPr>
        <w:pStyle w:val="SubsectionCustom"/>
        <w:spacing w:before="120" w:after="60" w:line="276" w:lineRule="auto"/>
      </w:pPr>
      <w:r>
        <w:rPr>
          <w:rFonts w:ascii="Aptos" w:hAnsi="Aptos"/>
          <w:b w:val="0"/>
          <w:i w:val="0"/>
          <w:color w:val="0B0F14"/>
          <w:sz w:val="22"/>
        </w:rPr>
        <w:t>Público secundario</w:t>
      </w:r>
    </w:p>
    <w:p>
      <w:pPr>
        <w:pStyle w:val="BodyCustom"/>
        <w:spacing w:line="283" w:lineRule="auto"/>
        <w:ind w:left="227" w:hanging="113"/>
      </w:pPr>
      <w:r>
        <w:rPr>
          <w:color w:val="E10600"/>
        </w:rPr>
        <w:t xml:space="preserve">• </w:t>
      </w:r>
      <w:r>
        <w:rPr>
          <w:rFonts w:ascii="Aptos" w:hAnsi="Aptos"/>
          <w:sz w:val="21"/>
        </w:rPr>
        <w:t>Profesionales independientes que necesitan enviar o almacenar documentación sensible con una capa adicional de resguardo.</w:t>
      </w:r>
    </w:p>
    <w:p>
      <w:pPr>
        <w:pStyle w:val="BodyCustom"/>
        <w:spacing w:line="283" w:lineRule="auto"/>
        <w:ind w:left="227" w:hanging="113"/>
      </w:pPr>
      <w:r>
        <w:rPr>
          <w:color w:val="E10600"/>
        </w:rPr>
        <w:t xml:space="preserve">• </w:t>
      </w:r>
      <w:r>
        <w:rPr>
          <w:rFonts w:ascii="Aptos" w:hAnsi="Aptos"/>
          <w:sz w:val="21"/>
        </w:rPr>
        <w:t>Pequeñas y medianas empresas que no pueden pagar suites complejas, pero sí valoran una solución clara y controlada.</w:t>
      </w:r>
    </w:p>
    <w:p>
      <w:pPr>
        <w:pStyle w:val="BodyCustom"/>
        <w:spacing w:line="283" w:lineRule="auto"/>
        <w:ind w:left="227" w:hanging="113"/>
      </w:pPr>
      <w:r>
        <w:rPr>
          <w:color w:val="E10600"/>
        </w:rPr>
        <w:t xml:space="preserve">• </w:t>
      </w:r>
      <w:r>
        <w:rPr>
          <w:rFonts w:ascii="Aptos" w:hAnsi="Aptos"/>
          <w:sz w:val="21"/>
        </w:rPr>
        <w:t>Actores institucionales interesados en convenios, adopción piloto o uso recurrente por volumen.</w:t>
      </w:r>
    </w:p>
    <w:p>
      <w:pPr>
        <w:pStyle w:val="SectionCustom"/>
        <w:spacing w:before="240" w:after="100" w:line="276" w:lineRule="auto"/>
      </w:pPr>
      <w:r>
        <w:rPr>
          <w:rFonts w:ascii="Aptos" w:hAnsi="Aptos"/>
          <w:b w:val="0"/>
          <w:i w:val="0"/>
          <w:color w:val="0B0F14"/>
          <w:sz w:val="22"/>
        </w:rPr>
        <w:t>5. Propuesta de valor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020"/>
        <w:gridCol w:w="5020"/>
      </w:tblGrid>
      <w:tr>
        <w:tc>
          <w:tcPr>
            <w:tcW w:type="dxa" w:w="4320"/>
            <w:shd w:fill="F8FAFC"/>
            <w:tcMar>
              <w:top w:w="130" w:type="dxa"/>
              <w:start w:w="140" w:type="dxa"/>
              <w:bottom w:w="130" w:type="dxa"/>
              <w:end w:w="14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b/>
                <w:color w:val="0F1C2E"/>
                <w:sz w:val="22"/>
              </w:rPr>
              <w:t>Protección útil</w:t>
            </w:r>
          </w:p>
          <w:p>
            <w:pPr>
              <w:spacing w:before="80" w:line="276" w:lineRule="auto"/>
            </w:pPr>
            <w:r>
              <w:rPr>
                <w:rFonts w:ascii="Aptos" w:hAnsi="Aptos"/>
                <w:color w:val="0B0F14"/>
                <w:sz w:val="20"/>
              </w:rPr>
              <w:t>No vender miedo abstracto, sino una herramienta concreta para resguardar documentos importantes.</w:t>
            </w:r>
          </w:p>
        </w:tc>
        <w:tc>
          <w:tcPr>
            <w:tcW w:type="dxa" w:w="4320"/>
            <w:shd w:fill="EEF3F8"/>
            <w:tcMar>
              <w:top w:w="130" w:type="dxa"/>
              <w:start w:w="140" w:type="dxa"/>
              <w:bottom w:w="130" w:type="dxa"/>
              <w:end w:w="14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b/>
                <w:color w:val="0F1C2E"/>
                <w:sz w:val="22"/>
              </w:rPr>
              <w:t>Simplicidad de uso</w:t>
            </w:r>
          </w:p>
          <w:p>
            <w:pPr>
              <w:spacing w:before="80" w:line="276" w:lineRule="auto"/>
            </w:pPr>
            <w:r>
              <w:rPr>
                <w:rFonts w:ascii="Aptos" w:hAnsi="Aptos"/>
                <w:color w:val="0B0F14"/>
                <w:sz w:val="20"/>
              </w:rPr>
              <w:t>Una experiencia entendible para usuarios no técnicos, con foco en operar y resolver.</w:t>
            </w:r>
          </w:p>
        </w:tc>
      </w:tr>
      <w:tr>
        <w:tc>
          <w:tcPr>
            <w:tcW w:type="dxa" w:w="4320"/>
            <w:shd w:fill="F8FAFC"/>
            <w:tcMar>
              <w:top w:w="130" w:type="dxa"/>
              <w:start w:w="140" w:type="dxa"/>
              <w:bottom w:w="130" w:type="dxa"/>
              <w:end w:w="14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b/>
                <w:color w:val="0F1C2E"/>
                <w:sz w:val="22"/>
              </w:rPr>
              <w:t>Valor institucional</w:t>
            </w:r>
          </w:p>
          <w:p>
            <w:pPr>
              <w:spacing w:before="80" w:line="276" w:lineRule="auto"/>
            </w:pPr>
            <w:r>
              <w:rPr>
                <w:rFonts w:ascii="Aptos" w:hAnsi="Aptos"/>
                <w:color w:val="0B0F14"/>
                <w:sz w:val="20"/>
              </w:rPr>
              <w:t>Marca sobria, confianza comercial y materiales listos para negociación con organizaciones.</w:t>
            </w:r>
          </w:p>
        </w:tc>
        <w:tc>
          <w:tcPr>
            <w:tcW w:type="dxa" w:w="4320"/>
            <w:shd w:fill="EEF3F8"/>
            <w:tcMar>
              <w:top w:w="130" w:type="dxa"/>
              <w:start w:w="140" w:type="dxa"/>
              <w:bottom w:w="130" w:type="dxa"/>
              <w:end w:w="14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b/>
                <w:color w:val="0F1C2E"/>
                <w:sz w:val="22"/>
              </w:rPr>
              <w:t>Escalabilidad comercial</w:t>
            </w:r>
          </w:p>
          <w:p>
            <w:pPr>
              <w:spacing w:before="80" w:line="276" w:lineRule="auto"/>
            </w:pPr>
            <w:r>
              <w:rPr>
                <w:rFonts w:ascii="Aptos" w:hAnsi="Aptos"/>
                <w:color w:val="0B0F14"/>
                <w:sz w:val="20"/>
              </w:rPr>
              <w:t>Modelo apto para free controlado, suscripción mensual, convenios y paquetes corporativos.</w:t>
            </w:r>
          </w:p>
        </w:tc>
      </w:tr>
    </w:tbl>
    <w:p>
      <w:pPr>
        <w:pStyle w:val="SectionCustom"/>
        <w:spacing w:before="240" w:after="100" w:line="276" w:lineRule="auto"/>
      </w:pPr>
      <w:r>
        <w:rPr>
          <w:rFonts w:ascii="Aptos" w:hAnsi="Aptos"/>
          <w:b w:val="0"/>
          <w:i w:val="0"/>
          <w:color w:val="0B0F14"/>
          <w:sz w:val="22"/>
        </w:rPr>
        <w:t>6. Línea comercial recomendada</w:t>
      </w:r>
    </w:p>
    <w:p>
      <w:pPr>
        <w:pStyle w:val="BodyCustom"/>
        <w:spacing w:before="0" w:after="120" w:line="300" w:lineRule="auto"/>
        <w:jc w:val="both"/>
      </w:pPr>
      <w:r>
        <w:rPr>
          <w:rFonts w:ascii="Aptos" w:hAnsi="Aptos"/>
          <w:b w:val="0"/>
          <w:i w:val="0"/>
          <w:color w:val="0B0F14"/>
          <w:sz w:val="22"/>
        </w:rPr>
        <w:t>BySalomon debe presentarse inicialmente como una empresa de seguridad documental y resguardo digital práctico. El mensaje comercial central no debería ser “hacemos ciberseguridad”, sino “protegemos información importante de forma simple, seria y útil”. Esa formulación es más concreta, más vendible y más fácil de explicar frente a decisores no técnicos.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040"/>
      </w:tblGrid>
      <w:tr>
        <w:tc>
          <w:tcPr>
            <w:tcW w:type="dxa" w:w="8784"/>
            <w:shd w:fill="13293D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F5F7FA"/>
                <w:sz w:val="23"/>
              </w:rPr>
              <w:t>“Protegemos documentos, procesos e información sensible con tecnología clara, sobria y confiable.”</w:t>
            </w:r>
          </w:p>
        </w:tc>
      </w:tr>
    </w:tbl>
    <w:p>
      <w:pPr>
        <w:pStyle w:val="SectionCustom"/>
        <w:spacing w:before="240" w:after="100" w:line="276" w:lineRule="auto"/>
      </w:pPr>
      <w:r>
        <w:rPr>
          <w:rFonts w:ascii="Aptos" w:hAnsi="Aptos"/>
          <w:b w:val="0"/>
          <w:i w:val="0"/>
          <w:color w:val="0B0F14"/>
          <w:sz w:val="22"/>
        </w:rPr>
        <w:t>7. Modelo comercial inicial sugerido</w:t>
      </w:r>
    </w:p>
    <w:p>
      <w:pPr>
        <w:pStyle w:val="BodyCustom"/>
        <w:spacing w:line="283" w:lineRule="auto"/>
        <w:ind w:left="227" w:hanging="113"/>
      </w:pPr>
      <w:r>
        <w:rPr>
          <w:color w:val="E10600"/>
        </w:rPr>
        <w:t xml:space="preserve">• </w:t>
      </w:r>
      <w:r>
        <w:rPr>
          <w:rFonts w:ascii="Aptos" w:hAnsi="Aptos"/>
          <w:sz w:val="21"/>
        </w:rPr>
        <w:t>Prueba de entrada controlada por usuario registrado, con cantidad limitada de operaciones.</w:t>
      </w:r>
    </w:p>
    <w:p>
      <w:pPr>
        <w:pStyle w:val="BodyCustom"/>
        <w:spacing w:line="283" w:lineRule="auto"/>
        <w:ind w:left="227" w:hanging="113"/>
      </w:pPr>
      <w:r>
        <w:rPr>
          <w:color w:val="E10600"/>
        </w:rPr>
        <w:t xml:space="preserve">• </w:t>
      </w:r>
      <w:r>
        <w:rPr>
          <w:rFonts w:ascii="Aptos" w:hAnsi="Aptos"/>
          <w:sz w:val="21"/>
        </w:rPr>
        <w:t>Plan mensual para continuidad, mayor capacidad y retención ampliada.</w:t>
      </w:r>
    </w:p>
    <w:p>
      <w:pPr>
        <w:pStyle w:val="BodyCustom"/>
        <w:spacing w:line="283" w:lineRule="auto"/>
        <w:ind w:left="227" w:hanging="113"/>
      </w:pPr>
      <w:r>
        <w:rPr>
          <w:color w:val="E10600"/>
        </w:rPr>
        <w:t xml:space="preserve">• </w:t>
      </w:r>
      <w:r>
        <w:rPr>
          <w:rFonts w:ascii="Aptos" w:hAnsi="Aptos"/>
          <w:sz w:val="21"/>
        </w:rPr>
        <w:t>Planes corporativos o convenios por volumen, con foco en instituciones y organizaciones.</w:t>
      </w:r>
    </w:p>
    <w:p>
      <w:pPr>
        <w:pStyle w:val="BodyCustom"/>
        <w:spacing w:line="283" w:lineRule="auto"/>
        <w:ind w:left="227" w:hanging="113"/>
      </w:pPr>
      <w:r>
        <w:rPr>
          <w:color w:val="E10600"/>
        </w:rPr>
        <w:t xml:space="preserve">• </w:t>
      </w:r>
      <w:r>
        <w:rPr>
          <w:rFonts w:ascii="Aptos" w:hAnsi="Aptos"/>
          <w:sz w:val="21"/>
        </w:rPr>
        <w:t>Opción de donación o apoyo a línea de investigación aplicada, cuando la narrativa institucional lo permita.</w:t>
      </w:r>
    </w:p>
    <w:p>
      <w:pPr>
        <w:pStyle w:val="SectionCustom"/>
        <w:spacing w:before="240" w:after="100" w:line="276" w:lineRule="auto"/>
      </w:pPr>
      <w:r>
        <w:rPr>
          <w:rFonts w:ascii="Aptos" w:hAnsi="Aptos"/>
          <w:b w:val="0"/>
          <w:i w:val="0"/>
          <w:color w:val="0B0F14"/>
          <w:sz w:val="22"/>
        </w:rPr>
        <w:t>8. Criterio de posicionamiento</w:t>
      </w:r>
    </w:p>
    <w:p>
      <w:pPr>
        <w:pStyle w:val="BodyCustom"/>
        <w:spacing w:before="0" w:after="120" w:line="300" w:lineRule="auto"/>
        <w:jc w:val="both"/>
      </w:pPr>
      <w:r>
        <w:rPr>
          <w:rFonts w:ascii="Aptos" w:hAnsi="Aptos"/>
          <w:b w:val="0"/>
          <w:i w:val="0"/>
          <w:color w:val="0B0F14"/>
          <w:sz w:val="22"/>
        </w:rPr>
        <w:t>La marca debe transmitir tres ideas al mismo tiempo: que protege, que ordena y que vale. El foco visual y comercial debe ser institucional, no agresivo; confiable, no críptico; y profesional, no improvisado. Esa coherencia entre producto, marca y discurso comercial es la que permitirá vender mejor, negociar mejor y abrir puertas a futuras alianzas o inversión.</w:t>
      </w:r>
    </w:p>
    <w:p>
      <w:pPr>
        <w:pStyle w:val="SectionCustom"/>
        <w:spacing w:before="240" w:after="100" w:line="276" w:lineRule="auto"/>
      </w:pPr>
      <w:r>
        <w:rPr>
          <w:rFonts w:ascii="Aptos" w:hAnsi="Aptos"/>
          <w:b w:val="0"/>
          <w:i w:val="0"/>
          <w:color w:val="0B0F14"/>
          <w:sz w:val="22"/>
        </w:rPr>
        <w:t>9. Cierre ejecutivo</w:t>
      </w:r>
    </w:p>
    <w:p>
      <w:pPr>
        <w:pStyle w:val="BodyCustom"/>
        <w:spacing w:before="0" w:after="120" w:line="300" w:lineRule="auto"/>
        <w:jc w:val="both"/>
      </w:pPr>
      <w:r>
        <w:rPr>
          <w:rFonts w:ascii="Aptos" w:hAnsi="Aptos"/>
          <w:b w:val="0"/>
          <w:i w:val="0"/>
          <w:color w:val="0B0F14"/>
          <w:sz w:val="22"/>
        </w:rPr>
        <w:t>BySalomon tiene condiciones para posicionarse como una empresa especializada en seguridad documental y protección de información sensible en Uruguay. Su ventaja inicial no está en competir como proveedor genérico de ciberseguridad, sino en ofrecer una solución concreta, comprensible y comercializable alrededor de un problema real: cómo resguardar archivos importantes con seriedad, control y valor percibido. El camino recomendado es construir marca, proteger la identidad, mostrar el producto en modo reservado y salir a buscar validación comercial con organizaciones donde el dolor documental ya existe.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247" w:right="1191" w:bottom="1020" w:left="119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Aptos" w:hAnsi="Aptos"/>
        <w:color w:val="6E7B8B"/>
        <w:sz w:val="18"/>
      </w:rPr>
      <w:t xml:space="preserve">Maisalmo - Pablo Salomón de León  |  Página </w:t>
    </w:r>
    <w:r>
      <w:fldChar w:fldCharType="begin"/>
      <w:instrText xml:space="preserve">PAGE</w:instrText>
      <w:fldChar w:fldCharType="separate"/>
      <w:t>1</w: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p>
    <w:pPr>
      <w:jc w:val="center"/>
    </w:pPr>
    <w:r>
      <w:pict>
        <v:shapetype id="_x0000_t136" coordsize="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99999" o:spid="_x0000_s1025" type="#_x0000_t136" style="position:absolute;margin-left:0;margin-top:0;width:468pt;height:351pt;z-index:-251654144;mso-wrap-edited:f" fillcolor="silver" stroked="f">
          <v:fill opacity="0.08"/>
          <v:textpath style="font-family:'Aptos';font-size:30pt;font-weight:700" string="Maisalmo - Pablo Salomón de León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TitleCustom">
    <w:name w:val="TitleCustom"/>
    <w:rPr>
      <w:rFonts w:ascii="Aptos Display" w:hAnsi="Aptos Display"/>
      <w:b/>
      <w:color w:val="0F1C2E"/>
      <w:sz w:val="44"/>
    </w:rPr>
  </w:style>
  <w:style w:type="paragraph" w:customStyle="1" w:styleId="SubtitleCustom">
    <w:name w:val="SubtitleCustom"/>
    <w:rPr>
      <w:rFonts w:ascii="Aptos" w:hAnsi="Aptos"/>
      <w:color w:val="6E7B8B"/>
      <w:sz w:val="22"/>
    </w:rPr>
  </w:style>
  <w:style w:type="paragraph" w:customStyle="1" w:styleId="SectionCustom">
    <w:name w:val="SectionCustom"/>
    <w:rPr>
      <w:rFonts w:ascii="Aptos" w:hAnsi="Aptos"/>
      <w:b/>
      <w:color w:val="0F1C2E"/>
      <w:sz w:val="28"/>
    </w:rPr>
  </w:style>
  <w:style w:type="paragraph" w:customStyle="1" w:styleId="SubsectionCustom">
    <w:name w:val="SubsectionCustom"/>
    <w:rPr>
      <w:rFonts w:ascii="Aptos" w:hAnsi="Aptos"/>
      <w:b/>
      <w:color w:val="13293D"/>
      <w:sz w:val="23"/>
    </w:rPr>
  </w:style>
  <w:style w:type="paragraph" w:customStyle="1" w:styleId="BodyCustom">
    <w:name w:val="BodyCustom"/>
    <w:rPr>
      <w:rFonts w:ascii="Aptos" w:hAnsi="Aptos"/>
      <w:color w:val="0B0F14"/>
      <w:sz w:val="22"/>
    </w:rPr>
  </w:style>
  <w:style w:type="paragraph" w:customStyle="1" w:styleId="SmallCustom">
    <w:name w:val="SmallCustom"/>
    <w:rPr>
      <w:rFonts w:ascii="Aptos" w:hAnsi="Aptos"/>
      <w:color w:val="6E7B8B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